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71" w:rsidRPr="00464E15" w:rsidRDefault="006B7D1F" w:rsidP="00ED0E24">
      <w:pPr>
        <w:jc w:val="center"/>
        <w:rPr>
          <w:b/>
          <w:sz w:val="40"/>
          <w:szCs w:val="28"/>
        </w:rPr>
      </w:pPr>
      <w:bookmarkStart w:id="0" w:name="_GoBack"/>
      <w:bookmarkEnd w:id="0"/>
      <w:r w:rsidRPr="00464E15">
        <w:rPr>
          <w:b/>
          <w:sz w:val="40"/>
          <w:szCs w:val="28"/>
        </w:rPr>
        <w:t>Beet Pulling Pre-entry Recording Template</w:t>
      </w:r>
    </w:p>
    <w:p w:rsidR="00D40B9E" w:rsidRPr="006B7D1F" w:rsidRDefault="00CA05D1" w:rsidP="00ED0E24">
      <w:pPr>
        <w:jc w:val="center"/>
        <w:rPr>
          <w:sz w:val="28"/>
          <w:szCs w:val="28"/>
        </w:rPr>
      </w:pPr>
      <w:r>
        <w:rPr>
          <w:sz w:val="28"/>
          <w:szCs w:val="28"/>
        </w:rPr>
        <w:t>Complete</w:t>
      </w:r>
      <w:r w:rsidR="00533D1E">
        <w:rPr>
          <w:sz w:val="28"/>
          <w:szCs w:val="28"/>
        </w:rPr>
        <w:t xml:space="preserve"> ahead of and as close to field entry as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3598"/>
        <w:gridCol w:w="5103"/>
      </w:tblGrid>
      <w:tr w:rsidR="00ED0E24" w:rsidRPr="006B7D1F" w:rsidTr="003B3C16">
        <w:tc>
          <w:tcPr>
            <w:tcW w:w="5778" w:type="dxa"/>
            <w:gridSpan w:val="2"/>
          </w:tcPr>
          <w:p w:rsidR="00ED0E24" w:rsidRPr="006B7D1F" w:rsidRDefault="00ED0E24">
            <w:pPr>
              <w:rPr>
                <w:sz w:val="28"/>
                <w:szCs w:val="28"/>
              </w:rPr>
            </w:pPr>
            <w:r w:rsidRPr="006B7D1F">
              <w:rPr>
                <w:sz w:val="28"/>
                <w:szCs w:val="28"/>
              </w:rPr>
              <w:t>Farm Name</w:t>
            </w:r>
          </w:p>
        </w:tc>
        <w:tc>
          <w:tcPr>
            <w:tcW w:w="5103" w:type="dxa"/>
          </w:tcPr>
          <w:p w:rsidR="00ED0E24" w:rsidRPr="006B7D1F" w:rsidRDefault="00ED0E24">
            <w:pPr>
              <w:rPr>
                <w:sz w:val="28"/>
                <w:szCs w:val="28"/>
              </w:rPr>
            </w:pPr>
          </w:p>
        </w:tc>
      </w:tr>
      <w:tr w:rsidR="00ED0E24" w:rsidRPr="006B7D1F" w:rsidTr="003B3C16">
        <w:tc>
          <w:tcPr>
            <w:tcW w:w="5778" w:type="dxa"/>
            <w:gridSpan w:val="2"/>
          </w:tcPr>
          <w:p w:rsidR="00ED0E24" w:rsidRPr="006B7D1F" w:rsidRDefault="00ED0E24">
            <w:pPr>
              <w:rPr>
                <w:sz w:val="28"/>
                <w:szCs w:val="28"/>
              </w:rPr>
            </w:pPr>
            <w:r w:rsidRPr="006B7D1F">
              <w:rPr>
                <w:sz w:val="28"/>
                <w:szCs w:val="28"/>
              </w:rPr>
              <w:t>Field Name</w:t>
            </w:r>
          </w:p>
        </w:tc>
        <w:tc>
          <w:tcPr>
            <w:tcW w:w="5103" w:type="dxa"/>
          </w:tcPr>
          <w:p w:rsidR="00ED0E24" w:rsidRPr="006B7D1F" w:rsidRDefault="00ED0E24">
            <w:pPr>
              <w:rPr>
                <w:sz w:val="28"/>
                <w:szCs w:val="28"/>
              </w:rPr>
            </w:pPr>
          </w:p>
        </w:tc>
      </w:tr>
      <w:tr w:rsidR="00ED0E24" w:rsidRPr="006B7D1F" w:rsidTr="003B3C16">
        <w:tc>
          <w:tcPr>
            <w:tcW w:w="5778" w:type="dxa"/>
            <w:gridSpan w:val="2"/>
          </w:tcPr>
          <w:p w:rsidR="00D40B9E" w:rsidRPr="006B7D1F" w:rsidRDefault="00ED0E24">
            <w:pPr>
              <w:rPr>
                <w:sz w:val="28"/>
                <w:szCs w:val="28"/>
              </w:rPr>
            </w:pPr>
            <w:r w:rsidRPr="006B7D1F">
              <w:rPr>
                <w:sz w:val="28"/>
                <w:szCs w:val="28"/>
              </w:rPr>
              <w:t>Date Field last Sprayed</w:t>
            </w:r>
            <w:r w:rsidR="00D40B9E" w:rsidRPr="006B7D1F">
              <w:rPr>
                <w:sz w:val="28"/>
                <w:szCs w:val="28"/>
              </w:rPr>
              <w:t xml:space="preserve"> (and time if relevant)</w:t>
            </w:r>
          </w:p>
        </w:tc>
        <w:tc>
          <w:tcPr>
            <w:tcW w:w="5103" w:type="dxa"/>
          </w:tcPr>
          <w:p w:rsidR="00ED0E24" w:rsidRPr="006B7D1F" w:rsidRDefault="00ED0E24">
            <w:pPr>
              <w:rPr>
                <w:sz w:val="28"/>
                <w:szCs w:val="28"/>
              </w:rPr>
            </w:pPr>
          </w:p>
        </w:tc>
      </w:tr>
      <w:tr w:rsidR="003B3C16" w:rsidRPr="006B7D1F" w:rsidTr="003B3C16">
        <w:tc>
          <w:tcPr>
            <w:tcW w:w="5778" w:type="dxa"/>
            <w:gridSpan w:val="2"/>
          </w:tcPr>
          <w:p w:rsidR="003B3C16" w:rsidRPr="006B7D1F" w:rsidRDefault="003B3C16" w:rsidP="00292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</w:t>
            </w:r>
            <w:r w:rsidR="00BA307A">
              <w:rPr>
                <w:sz w:val="28"/>
                <w:szCs w:val="28"/>
              </w:rPr>
              <w:t>/s last applied (optional)</w:t>
            </w:r>
          </w:p>
        </w:tc>
        <w:tc>
          <w:tcPr>
            <w:tcW w:w="5103" w:type="dxa"/>
          </w:tcPr>
          <w:p w:rsidR="003B3C16" w:rsidRPr="006B7D1F" w:rsidRDefault="003B3C16" w:rsidP="002925DB">
            <w:pPr>
              <w:rPr>
                <w:sz w:val="28"/>
                <w:szCs w:val="28"/>
              </w:rPr>
            </w:pPr>
          </w:p>
        </w:tc>
      </w:tr>
      <w:tr w:rsidR="00C14459" w:rsidRPr="006B7D1F" w:rsidTr="003B3C16">
        <w:tc>
          <w:tcPr>
            <w:tcW w:w="5778" w:type="dxa"/>
            <w:gridSpan w:val="2"/>
          </w:tcPr>
          <w:p w:rsidR="00C14459" w:rsidRPr="006B7D1F" w:rsidRDefault="00C14459" w:rsidP="002925DB">
            <w:pPr>
              <w:rPr>
                <w:sz w:val="28"/>
                <w:szCs w:val="28"/>
              </w:rPr>
            </w:pPr>
            <w:r w:rsidRPr="006B7D1F">
              <w:rPr>
                <w:sz w:val="28"/>
                <w:szCs w:val="28"/>
              </w:rPr>
              <w:t>Date and time of Field Entry</w:t>
            </w:r>
          </w:p>
        </w:tc>
        <w:tc>
          <w:tcPr>
            <w:tcW w:w="5103" w:type="dxa"/>
          </w:tcPr>
          <w:p w:rsidR="00C14459" w:rsidRPr="006B7D1F" w:rsidRDefault="00C14459" w:rsidP="002925DB">
            <w:pPr>
              <w:rPr>
                <w:sz w:val="28"/>
                <w:szCs w:val="28"/>
              </w:rPr>
            </w:pPr>
          </w:p>
        </w:tc>
      </w:tr>
      <w:tr w:rsidR="00CA05D1" w:rsidRPr="006B7D1F" w:rsidTr="003B3C16">
        <w:tc>
          <w:tcPr>
            <w:tcW w:w="5778" w:type="dxa"/>
            <w:gridSpan w:val="2"/>
          </w:tcPr>
          <w:p w:rsidR="00CA05D1" w:rsidRPr="006B7D1F" w:rsidRDefault="00CA05D1" w:rsidP="003D5775">
            <w:pPr>
              <w:rPr>
                <w:sz w:val="28"/>
                <w:szCs w:val="28"/>
              </w:rPr>
            </w:pPr>
            <w:r w:rsidRPr="006B7D1F">
              <w:rPr>
                <w:sz w:val="28"/>
                <w:szCs w:val="28"/>
              </w:rPr>
              <w:t>Re-entry Interval (days)</w:t>
            </w:r>
          </w:p>
        </w:tc>
        <w:tc>
          <w:tcPr>
            <w:tcW w:w="5103" w:type="dxa"/>
          </w:tcPr>
          <w:p w:rsidR="00CA05D1" w:rsidRPr="006B7D1F" w:rsidRDefault="00CA05D1" w:rsidP="003D5775">
            <w:pPr>
              <w:rPr>
                <w:sz w:val="28"/>
                <w:szCs w:val="28"/>
              </w:rPr>
            </w:pPr>
          </w:p>
        </w:tc>
      </w:tr>
      <w:tr w:rsidR="00CA05D1" w:rsidRPr="006B7D1F" w:rsidTr="003B3C16">
        <w:tc>
          <w:tcPr>
            <w:tcW w:w="10881" w:type="dxa"/>
            <w:gridSpan w:val="3"/>
          </w:tcPr>
          <w:p w:rsidR="00CA05D1" w:rsidRDefault="00CA05D1" w:rsidP="00CA0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less than 2 days since last sprayed do NOT enter</w:t>
            </w:r>
          </w:p>
          <w:p w:rsidR="00990E48" w:rsidRPr="006B7D1F" w:rsidRDefault="00CA05D1" w:rsidP="0099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Between 2 and 10 days PPE to be worn</w:t>
            </w:r>
          </w:p>
        </w:tc>
      </w:tr>
      <w:tr w:rsidR="00ED0E24" w:rsidRPr="006B7D1F" w:rsidTr="00990E48">
        <w:trPr>
          <w:trHeight w:val="368"/>
        </w:trPr>
        <w:tc>
          <w:tcPr>
            <w:tcW w:w="5778" w:type="dxa"/>
            <w:gridSpan w:val="2"/>
          </w:tcPr>
          <w:p w:rsidR="00990E48" w:rsidRPr="006B7D1F" w:rsidRDefault="00ED0E24" w:rsidP="00D40B9E">
            <w:pPr>
              <w:rPr>
                <w:sz w:val="28"/>
                <w:szCs w:val="28"/>
              </w:rPr>
            </w:pPr>
            <w:r w:rsidRPr="006B7D1F">
              <w:rPr>
                <w:sz w:val="28"/>
                <w:szCs w:val="28"/>
              </w:rPr>
              <w:t xml:space="preserve">PPE </w:t>
            </w:r>
            <w:r w:rsidR="00D40B9E" w:rsidRPr="006B7D1F">
              <w:rPr>
                <w:sz w:val="28"/>
                <w:szCs w:val="28"/>
              </w:rPr>
              <w:t>required according to stewardship</w:t>
            </w:r>
            <w:r w:rsidRPr="006B7D1F">
              <w:rPr>
                <w:sz w:val="28"/>
                <w:szCs w:val="28"/>
              </w:rPr>
              <w:t xml:space="preserve"> (Y/N)</w:t>
            </w:r>
          </w:p>
        </w:tc>
        <w:tc>
          <w:tcPr>
            <w:tcW w:w="5103" w:type="dxa"/>
          </w:tcPr>
          <w:p w:rsidR="003B3C16" w:rsidRPr="006B7D1F" w:rsidRDefault="003B3C16">
            <w:pPr>
              <w:rPr>
                <w:sz w:val="28"/>
                <w:szCs w:val="28"/>
              </w:rPr>
            </w:pPr>
          </w:p>
        </w:tc>
      </w:tr>
      <w:tr w:rsidR="00464E15" w:rsidRPr="006B7D1F" w:rsidTr="003B3C16">
        <w:tc>
          <w:tcPr>
            <w:tcW w:w="2180" w:type="dxa"/>
            <w:vMerge w:val="restart"/>
            <w:vAlign w:val="center"/>
          </w:tcPr>
          <w:p w:rsidR="006C42D8" w:rsidRDefault="00464E15" w:rsidP="00464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PPE worn </w:t>
            </w:r>
          </w:p>
          <w:p w:rsidR="00464E15" w:rsidRPr="006B7D1F" w:rsidRDefault="00464E15" w:rsidP="00464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(tick</w:t>
            </w:r>
            <w:r w:rsidR="006C42D8">
              <w:rPr>
                <w:sz w:val="28"/>
                <w:szCs w:val="28"/>
              </w:rPr>
              <w:t xml:space="preserve"> each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598" w:type="dxa"/>
          </w:tcPr>
          <w:p w:rsidR="00464E15" w:rsidRPr="006B7D1F" w:rsidRDefault="00464E15" w:rsidP="00ED0E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Boots</w:t>
            </w:r>
          </w:p>
        </w:tc>
        <w:tc>
          <w:tcPr>
            <w:tcW w:w="5103" w:type="dxa"/>
          </w:tcPr>
          <w:p w:rsidR="00464E15" w:rsidRPr="006B7D1F" w:rsidRDefault="00464E15">
            <w:pPr>
              <w:rPr>
                <w:sz w:val="28"/>
                <w:szCs w:val="28"/>
              </w:rPr>
            </w:pPr>
          </w:p>
        </w:tc>
      </w:tr>
      <w:tr w:rsidR="00464E15" w:rsidRPr="006B7D1F" w:rsidTr="003B3C16">
        <w:tc>
          <w:tcPr>
            <w:tcW w:w="2180" w:type="dxa"/>
            <w:vMerge/>
          </w:tcPr>
          <w:p w:rsidR="00464E15" w:rsidRPr="006B7D1F" w:rsidRDefault="00464E15" w:rsidP="00ED0E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464E15" w:rsidRPr="006B7D1F" w:rsidRDefault="00464E15" w:rsidP="00990E48">
            <w:pPr>
              <w:jc w:val="right"/>
              <w:rPr>
                <w:sz w:val="28"/>
                <w:szCs w:val="28"/>
              </w:rPr>
            </w:pPr>
            <w:r w:rsidRPr="006B7D1F">
              <w:rPr>
                <w:sz w:val="28"/>
                <w:szCs w:val="28"/>
              </w:rPr>
              <w:t>Gloves</w:t>
            </w:r>
          </w:p>
        </w:tc>
        <w:tc>
          <w:tcPr>
            <w:tcW w:w="5103" w:type="dxa"/>
          </w:tcPr>
          <w:p w:rsidR="00464E15" w:rsidRPr="006B7D1F" w:rsidRDefault="00464E15">
            <w:pPr>
              <w:rPr>
                <w:sz w:val="28"/>
                <w:szCs w:val="28"/>
              </w:rPr>
            </w:pPr>
          </w:p>
        </w:tc>
      </w:tr>
      <w:tr w:rsidR="00990E48" w:rsidRPr="006B7D1F" w:rsidTr="003B3C16">
        <w:tc>
          <w:tcPr>
            <w:tcW w:w="2180" w:type="dxa"/>
            <w:vMerge/>
          </w:tcPr>
          <w:p w:rsidR="00990E48" w:rsidRPr="006B7D1F" w:rsidRDefault="00990E48" w:rsidP="00ED0E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990E48" w:rsidRPr="00464E15" w:rsidRDefault="00990E48" w:rsidP="00ED0E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Trousers</w:t>
            </w:r>
          </w:p>
        </w:tc>
        <w:tc>
          <w:tcPr>
            <w:tcW w:w="5103" w:type="dxa"/>
          </w:tcPr>
          <w:p w:rsidR="00990E48" w:rsidRPr="006B7D1F" w:rsidRDefault="00990E48">
            <w:pPr>
              <w:rPr>
                <w:sz w:val="28"/>
                <w:szCs w:val="28"/>
              </w:rPr>
            </w:pPr>
          </w:p>
        </w:tc>
      </w:tr>
      <w:tr w:rsidR="00464E15" w:rsidRPr="006B7D1F" w:rsidTr="003B3C16">
        <w:tc>
          <w:tcPr>
            <w:tcW w:w="2180" w:type="dxa"/>
            <w:vMerge/>
          </w:tcPr>
          <w:p w:rsidR="00464E15" w:rsidRPr="006B7D1F" w:rsidRDefault="00464E15" w:rsidP="00ED0E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464E15" w:rsidRPr="006B7D1F" w:rsidRDefault="00464E15" w:rsidP="00990E48">
            <w:pPr>
              <w:jc w:val="right"/>
              <w:rPr>
                <w:sz w:val="28"/>
                <w:szCs w:val="28"/>
              </w:rPr>
            </w:pPr>
            <w:r w:rsidRPr="00464E15">
              <w:rPr>
                <w:sz w:val="28"/>
                <w:szCs w:val="28"/>
              </w:rPr>
              <w:t xml:space="preserve">Waterproof </w:t>
            </w:r>
            <w:r w:rsidR="00604209">
              <w:rPr>
                <w:sz w:val="28"/>
                <w:szCs w:val="28"/>
              </w:rPr>
              <w:t>trousers (required if leaves are</w:t>
            </w:r>
            <w:r w:rsidR="00990E48">
              <w:rPr>
                <w:sz w:val="28"/>
                <w:szCs w:val="28"/>
              </w:rPr>
              <w:t xml:space="preserve"> wet)</w:t>
            </w:r>
          </w:p>
        </w:tc>
        <w:tc>
          <w:tcPr>
            <w:tcW w:w="5103" w:type="dxa"/>
          </w:tcPr>
          <w:p w:rsidR="00464E15" w:rsidRPr="006B7D1F" w:rsidRDefault="00464E15">
            <w:pPr>
              <w:rPr>
                <w:sz w:val="28"/>
                <w:szCs w:val="28"/>
              </w:rPr>
            </w:pPr>
          </w:p>
        </w:tc>
      </w:tr>
      <w:tr w:rsidR="00ED0E24" w:rsidRPr="006B7D1F" w:rsidTr="003B3C16">
        <w:tc>
          <w:tcPr>
            <w:tcW w:w="5778" w:type="dxa"/>
            <w:gridSpan w:val="2"/>
          </w:tcPr>
          <w:p w:rsidR="00ED0E24" w:rsidRPr="006B7D1F" w:rsidRDefault="00B96FFE">
            <w:pPr>
              <w:rPr>
                <w:sz w:val="28"/>
                <w:szCs w:val="28"/>
              </w:rPr>
            </w:pPr>
            <w:r w:rsidRPr="006B7D1F">
              <w:rPr>
                <w:sz w:val="28"/>
                <w:szCs w:val="28"/>
              </w:rPr>
              <w:t>Name</w:t>
            </w:r>
          </w:p>
        </w:tc>
        <w:tc>
          <w:tcPr>
            <w:tcW w:w="5103" w:type="dxa"/>
          </w:tcPr>
          <w:p w:rsidR="00ED0E24" w:rsidRPr="006B7D1F" w:rsidRDefault="00ED0E24">
            <w:pPr>
              <w:rPr>
                <w:sz w:val="28"/>
                <w:szCs w:val="28"/>
              </w:rPr>
            </w:pPr>
          </w:p>
        </w:tc>
      </w:tr>
      <w:tr w:rsidR="00ED0E24" w:rsidRPr="006B7D1F" w:rsidTr="003B3C16">
        <w:tc>
          <w:tcPr>
            <w:tcW w:w="5778" w:type="dxa"/>
            <w:gridSpan w:val="2"/>
          </w:tcPr>
          <w:p w:rsidR="00ED0E24" w:rsidRPr="006B7D1F" w:rsidRDefault="00ED0E24">
            <w:pPr>
              <w:rPr>
                <w:sz w:val="28"/>
                <w:szCs w:val="28"/>
              </w:rPr>
            </w:pPr>
            <w:r w:rsidRPr="006B7D1F">
              <w:rPr>
                <w:sz w:val="28"/>
                <w:szCs w:val="28"/>
              </w:rPr>
              <w:t>Signature</w:t>
            </w:r>
          </w:p>
        </w:tc>
        <w:tc>
          <w:tcPr>
            <w:tcW w:w="5103" w:type="dxa"/>
          </w:tcPr>
          <w:p w:rsidR="00ED0E24" w:rsidRPr="006B7D1F" w:rsidRDefault="00ED0E24">
            <w:pPr>
              <w:rPr>
                <w:sz w:val="28"/>
                <w:szCs w:val="28"/>
              </w:rPr>
            </w:pPr>
          </w:p>
        </w:tc>
      </w:tr>
    </w:tbl>
    <w:p w:rsidR="003B3C16" w:rsidRDefault="003B3C16" w:rsidP="003B3C16">
      <w:pPr>
        <w:spacing w:after="0"/>
        <w:rPr>
          <w:b/>
          <w:sz w:val="28"/>
          <w:szCs w:val="28"/>
          <w:u w:val="single"/>
        </w:rPr>
      </w:pPr>
    </w:p>
    <w:p w:rsidR="003B3C16" w:rsidRPr="003B3C16" w:rsidRDefault="000E75B4" w:rsidP="003B3C16">
      <w:pPr>
        <w:spacing w:after="240"/>
        <w:rPr>
          <w:b/>
          <w:sz w:val="28"/>
          <w:szCs w:val="28"/>
          <w:u w:val="single"/>
        </w:rPr>
      </w:pPr>
      <w:r w:rsidRPr="006B7D1F">
        <w:rPr>
          <w:b/>
          <w:sz w:val="28"/>
          <w:szCs w:val="28"/>
          <w:u w:val="single"/>
        </w:rPr>
        <w:t>Remember:</w:t>
      </w:r>
    </w:p>
    <w:p w:rsidR="00CA55A6" w:rsidRPr="00CA55A6" w:rsidRDefault="00CA55A6" w:rsidP="00CA55A6">
      <w:pPr>
        <w:spacing w:after="240"/>
        <w:rPr>
          <w:sz w:val="28"/>
          <w:szCs w:val="28"/>
        </w:rPr>
      </w:pPr>
      <w:r w:rsidRPr="00CA55A6">
        <w:rPr>
          <w:sz w:val="28"/>
          <w:szCs w:val="28"/>
        </w:rPr>
        <w:t>Wherever possible, complet</w:t>
      </w:r>
      <w:r>
        <w:rPr>
          <w:sz w:val="28"/>
          <w:szCs w:val="28"/>
        </w:rPr>
        <w:t xml:space="preserve">e hand-pulling before the field </w:t>
      </w:r>
      <w:r w:rsidRPr="00CA55A6">
        <w:rPr>
          <w:sz w:val="28"/>
          <w:szCs w:val="28"/>
        </w:rPr>
        <w:t>is sprayed.</w:t>
      </w:r>
    </w:p>
    <w:p w:rsidR="00CA55A6" w:rsidRPr="00CA55A6" w:rsidRDefault="00CA55A6" w:rsidP="00CA55A6">
      <w:pPr>
        <w:spacing w:after="240"/>
        <w:rPr>
          <w:sz w:val="28"/>
          <w:szCs w:val="28"/>
        </w:rPr>
      </w:pPr>
      <w:r w:rsidRPr="00CA55A6">
        <w:rPr>
          <w:sz w:val="28"/>
          <w:szCs w:val="28"/>
        </w:rPr>
        <w:t>If a field has been sprayed with</w:t>
      </w:r>
      <w:r>
        <w:rPr>
          <w:sz w:val="28"/>
          <w:szCs w:val="28"/>
        </w:rPr>
        <w:t xml:space="preserve">in the previous 48 hours do not </w:t>
      </w:r>
      <w:r w:rsidRPr="00CA55A6">
        <w:rPr>
          <w:sz w:val="28"/>
          <w:szCs w:val="28"/>
        </w:rPr>
        <w:t>enter to work.</w:t>
      </w:r>
    </w:p>
    <w:p w:rsidR="00CA55A6" w:rsidRPr="00CA55A6" w:rsidRDefault="00CA55A6" w:rsidP="00CA55A6">
      <w:pPr>
        <w:spacing w:after="240"/>
        <w:rPr>
          <w:sz w:val="28"/>
          <w:szCs w:val="28"/>
        </w:rPr>
      </w:pPr>
      <w:r w:rsidRPr="00CA55A6">
        <w:rPr>
          <w:sz w:val="28"/>
          <w:szCs w:val="28"/>
        </w:rPr>
        <w:t>Between 48 hours and 10 da</w:t>
      </w:r>
      <w:r>
        <w:rPr>
          <w:sz w:val="28"/>
          <w:szCs w:val="28"/>
        </w:rPr>
        <w:t xml:space="preserve">ys after spraying, re-enter the </w:t>
      </w:r>
      <w:r w:rsidRPr="00CA55A6">
        <w:rPr>
          <w:sz w:val="28"/>
          <w:szCs w:val="28"/>
        </w:rPr>
        <w:t>field to work ONLY if clothed</w:t>
      </w:r>
      <w:r>
        <w:rPr>
          <w:sz w:val="28"/>
          <w:szCs w:val="28"/>
        </w:rPr>
        <w:t xml:space="preserve"> in appropriate workwear – that </w:t>
      </w:r>
      <w:r w:rsidRPr="00CA55A6">
        <w:rPr>
          <w:sz w:val="28"/>
          <w:szCs w:val="28"/>
        </w:rPr>
        <w:t>is boots, gloves and long trouse</w:t>
      </w:r>
      <w:r>
        <w:rPr>
          <w:sz w:val="28"/>
          <w:szCs w:val="28"/>
        </w:rPr>
        <w:t xml:space="preserve">rs – and waterproof trousers if </w:t>
      </w:r>
      <w:r w:rsidRPr="00CA55A6">
        <w:rPr>
          <w:sz w:val="28"/>
          <w:szCs w:val="28"/>
        </w:rPr>
        <w:t>the crop is wet.</w:t>
      </w:r>
    </w:p>
    <w:p w:rsidR="009E7C82" w:rsidRPr="006B7D1F" w:rsidRDefault="00CA55A6" w:rsidP="00CA55A6">
      <w:pPr>
        <w:rPr>
          <w:sz w:val="28"/>
          <w:szCs w:val="28"/>
        </w:rPr>
      </w:pPr>
      <w:r w:rsidRPr="00464E1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7F7A9" wp14:editId="2D34EFEF">
                <wp:simplePos x="0" y="0"/>
                <wp:positionH relativeFrom="column">
                  <wp:posOffset>68509</wp:posOffset>
                </wp:positionH>
                <wp:positionV relativeFrom="paragraph">
                  <wp:posOffset>635000</wp:posOffset>
                </wp:positionV>
                <wp:extent cx="6505575" cy="1742440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091" w:rsidRDefault="003E7091" w:rsidP="003E709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4ED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This form has been developed by Bayer </w:t>
                            </w:r>
                            <w:proofErr w:type="spellStart"/>
                            <w:r w:rsidRPr="00254EDA">
                              <w:rPr>
                                <w:sz w:val="20"/>
                                <w:szCs w:val="20"/>
                                <w:lang w:val="en-US"/>
                              </w:rPr>
                              <w:t>CropScience</w:t>
                            </w:r>
                            <w:proofErr w:type="spellEnd"/>
                            <w:r w:rsidRPr="00254ED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Ltd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(“Bayer”)</w:t>
                            </w:r>
                            <w:r w:rsidRPr="00254ED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as part</w:t>
                            </w:r>
                            <w:r w:rsidRPr="00254ED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of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an</w:t>
                            </w:r>
                            <w:r w:rsidRPr="00254ED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initiative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r w:rsidRPr="00254ED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record the implementation of stewardship activities in agronomic practice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should</w:t>
                            </w:r>
                            <w:r w:rsidRPr="00254ED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be stored at the manager’s archive.</w:t>
                            </w:r>
                          </w:p>
                          <w:p w:rsidR="003E7091" w:rsidRPr="00254EDA" w:rsidRDefault="003E7091" w:rsidP="003E709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4ED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3E7091" w:rsidRPr="00254EDA" w:rsidRDefault="003E7091" w:rsidP="003E709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The manager will provide</w:t>
                            </w:r>
                            <w:r w:rsidRPr="0097678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this form, or the information recorded in it,</w:t>
                            </w:r>
                            <w:r w:rsidRPr="0097678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to Bayer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on request,</w:t>
                            </w:r>
                            <w:r w:rsidRPr="0097678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 order to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monitor the implementation of</w:t>
                            </w:r>
                            <w:r w:rsidRPr="0097678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these</w:t>
                            </w:r>
                            <w:r w:rsidRPr="0097678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stewardship activities.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3E7091" w:rsidRPr="00254EDA" w:rsidRDefault="003E7091" w:rsidP="003E709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E7091" w:rsidRPr="00254EDA" w:rsidRDefault="003E7091" w:rsidP="003E709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Any personal data provided to Bayer in connection with this initiative will be treated in accordance with the Bayer privacy policy</w:t>
                            </w:r>
                            <w:r w:rsidRPr="00254ED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2028B8">
                                <w:rPr>
                                  <w:rStyle w:val="Hyperlink"/>
                                </w:rPr>
                                <w:t>https://cropscience.bayer.co.uk/about-us/privacy-statement/</w:t>
                              </w:r>
                            </w:hyperlink>
                            <w:r>
                              <w:t>, only anonymized information would be shared with third parties by Bayer.</w:t>
                            </w:r>
                          </w:p>
                          <w:p w:rsidR="005A6F19" w:rsidRPr="00254EDA" w:rsidRDefault="005A6F19" w:rsidP="00254ED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4pt;margin-top:50pt;width:512.25pt;height:1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">
                <v:textbox>
                  <w:txbxContent>
                    <w:p w:rsidR="003E7091" w:rsidRDefault="003E7091" w:rsidP="003E7091">
                      <w:pPr>
                        <w:spacing w:after="0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54EDA">
                        <w:rPr>
                          <w:sz w:val="20"/>
                          <w:szCs w:val="20"/>
                          <w:lang w:val="en-US"/>
                        </w:rPr>
                        <w:t xml:space="preserve">This form has been developed by Bayer </w:t>
                      </w:r>
                      <w:proofErr w:type="spellStart"/>
                      <w:r w:rsidRPr="00254EDA">
                        <w:rPr>
                          <w:sz w:val="20"/>
                          <w:szCs w:val="20"/>
                          <w:lang w:val="en-US"/>
                        </w:rPr>
                        <w:t>CropScience</w:t>
                      </w:r>
                      <w:proofErr w:type="spellEnd"/>
                      <w:r w:rsidRPr="00254EDA">
                        <w:rPr>
                          <w:sz w:val="20"/>
                          <w:szCs w:val="20"/>
                          <w:lang w:val="en-US"/>
                        </w:rPr>
                        <w:t xml:space="preserve"> Ltd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(“Bayer”)</w:t>
                      </w:r>
                      <w:r w:rsidRPr="00254ED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as part</w:t>
                      </w:r>
                      <w:r w:rsidRPr="00254EDA">
                        <w:rPr>
                          <w:sz w:val="20"/>
                          <w:szCs w:val="20"/>
                          <w:lang w:val="en-US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an</w:t>
                      </w:r>
                      <w:r w:rsidRPr="00254EDA">
                        <w:rPr>
                          <w:sz w:val="20"/>
                          <w:szCs w:val="20"/>
                          <w:lang w:val="en-US"/>
                        </w:rPr>
                        <w:t xml:space="preserve"> initiative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to</w:t>
                      </w:r>
                      <w:r w:rsidRPr="00254EDA">
                        <w:rPr>
                          <w:sz w:val="20"/>
                          <w:szCs w:val="20"/>
                          <w:lang w:val="en-US"/>
                        </w:rPr>
                        <w:t xml:space="preserve"> record the implementation of stewardship activities in agronomic practice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and should</w:t>
                      </w:r>
                      <w:r w:rsidRPr="00254EDA">
                        <w:rPr>
                          <w:sz w:val="20"/>
                          <w:szCs w:val="20"/>
                          <w:lang w:val="en-US"/>
                        </w:rPr>
                        <w:t xml:space="preserve"> be stored at the manager’s archive.</w:t>
                      </w:r>
                    </w:p>
                    <w:p w:rsidR="003E7091" w:rsidRPr="00254EDA" w:rsidRDefault="003E7091" w:rsidP="003E7091">
                      <w:pPr>
                        <w:spacing w:after="0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54ED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3E7091" w:rsidRPr="00254EDA" w:rsidRDefault="003E7091" w:rsidP="003E7091">
                      <w:pPr>
                        <w:spacing w:after="0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The manager will provide</w:t>
                      </w:r>
                      <w:r w:rsidRPr="0097678D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this form, or the information recorded in it,</w:t>
                      </w:r>
                      <w:r w:rsidRPr="0097678D">
                        <w:rPr>
                          <w:sz w:val="20"/>
                          <w:szCs w:val="20"/>
                          <w:lang w:val="en-US"/>
                        </w:rPr>
                        <w:t xml:space="preserve"> to Bayer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on request,</w:t>
                      </w:r>
                      <w:r w:rsidRPr="0097678D">
                        <w:rPr>
                          <w:sz w:val="20"/>
                          <w:szCs w:val="20"/>
                          <w:lang w:val="en-US"/>
                        </w:rPr>
                        <w:t xml:space="preserve"> in order to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monitor the implementation of</w:t>
                      </w:r>
                      <w:r w:rsidRPr="0097678D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these</w:t>
                      </w:r>
                      <w:r w:rsidRPr="0097678D">
                        <w:rPr>
                          <w:sz w:val="20"/>
                          <w:szCs w:val="20"/>
                          <w:lang w:val="en-US"/>
                        </w:rPr>
                        <w:t xml:space="preserve"> stewardship activities.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3E7091" w:rsidRPr="00254EDA" w:rsidRDefault="003E7091" w:rsidP="003E7091">
                      <w:pPr>
                        <w:spacing w:after="0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E7091" w:rsidRPr="00254EDA" w:rsidRDefault="003E7091" w:rsidP="003E7091">
                      <w:pPr>
                        <w:spacing w:after="0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Any personal data provided to Bayer in connection with this initiative will be treated in accordance with the Bayer privacy policy</w:t>
                      </w:r>
                      <w:r w:rsidRPr="00254ED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8" w:history="1">
                        <w:r w:rsidRPr="002028B8">
                          <w:rPr>
                            <w:rStyle w:val="Hyperlink"/>
                          </w:rPr>
                          <w:t>https://cropscience.bayer.co.uk/about-us/privacy-statement/</w:t>
                        </w:r>
                      </w:hyperlink>
                      <w:r>
                        <w:t>, only anonymized information would be shared with third parties by Bayer.</w:t>
                      </w:r>
                    </w:p>
                    <w:p w:rsidR="005A6F19" w:rsidRPr="00254EDA" w:rsidRDefault="005A6F19" w:rsidP="00254EDA">
                      <w:pPr>
                        <w:spacing w:after="0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55A6">
        <w:rPr>
          <w:sz w:val="28"/>
          <w:szCs w:val="28"/>
        </w:rPr>
        <w:t>From 10 days after spraying there are no requirements.</w:t>
      </w:r>
    </w:p>
    <w:sectPr w:rsidR="009E7C82" w:rsidRPr="006B7D1F" w:rsidSect="003B3C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26C3"/>
    <w:multiLevelType w:val="hybridMultilevel"/>
    <w:tmpl w:val="9EA49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E5D9F"/>
    <w:multiLevelType w:val="hybridMultilevel"/>
    <w:tmpl w:val="909C249E"/>
    <w:lvl w:ilvl="0" w:tplc="E73C7B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662D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94C3C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3CEAE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3C86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75EC2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2E37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8FE6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5C30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50C71937"/>
    <w:multiLevelType w:val="hybridMultilevel"/>
    <w:tmpl w:val="07B8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24"/>
    <w:rsid w:val="00094A71"/>
    <w:rsid w:val="000E0808"/>
    <w:rsid w:val="000E75B4"/>
    <w:rsid w:val="0012148E"/>
    <w:rsid w:val="001772DB"/>
    <w:rsid w:val="00190F38"/>
    <w:rsid w:val="00254EDA"/>
    <w:rsid w:val="003B3C16"/>
    <w:rsid w:val="003E7091"/>
    <w:rsid w:val="00464E15"/>
    <w:rsid w:val="00533D1E"/>
    <w:rsid w:val="005664A5"/>
    <w:rsid w:val="005A6F19"/>
    <w:rsid w:val="00604209"/>
    <w:rsid w:val="006B6113"/>
    <w:rsid w:val="006B7D1F"/>
    <w:rsid w:val="006C42D8"/>
    <w:rsid w:val="00793235"/>
    <w:rsid w:val="009101BD"/>
    <w:rsid w:val="00990E48"/>
    <w:rsid w:val="009E7C82"/>
    <w:rsid w:val="00B01E6D"/>
    <w:rsid w:val="00B96FFE"/>
    <w:rsid w:val="00BA307A"/>
    <w:rsid w:val="00C1190C"/>
    <w:rsid w:val="00C14459"/>
    <w:rsid w:val="00C24D6F"/>
    <w:rsid w:val="00C25513"/>
    <w:rsid w:val="00CA05D1"/>
    <w:rsid w:val="00CA55A6"/>
    <w:rsid w:val="00D40B9E"/>
    <w:rsid w:val="00E57D90"/>
    <w:rsid w:val="00EA735C"/>
    <w:rsid w:val="00E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D0E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ED0E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77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1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7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35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5C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A6F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E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D0E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ED0E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77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1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7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35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5C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A6F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77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975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00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91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pscience.bayer.co.uk/about-us/privacy-statement/" TargetMode="External"/><Relationship Id="rId3" Type="http://schemas.openxmlformats.org/officeDocument/2006/relationships/styles" Target="styles.xml"/><Relationship Id="rId7" Type="http://schemas.openxmlformats.org/officeDocument/2006/relationships/hyperlink" Target="https://cropscience.bayer.co.uk/about-us/privacy-state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7D18-E27A-48A4-8624-09A401E3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Humphreys</dc:creator>
  <cp:lastModifiedBy>David Crockford</cp:lastModifiedBy>
  <cp:revision>2</cp:revision>
  <cp:lastPrinted>2018-05-29T09:38:00Z</cp:lastPrinted>
  <dcterms:created xsi:type="dcterms:W3CDTF">2018-07-23T07:46:00Z</dcterms:created>
  <dcterms:modified xsi:type="dcterms:W3CDTF">2018-07-23T07:46:00Z</dcterms:modified>
</cp:coreProperties>
</file>